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E76D76">
        <w:rPr>
          <w:rFonts w:cs="Arial"/>
          <w:sz w:val="20"/>
        </w:rPr>
        <w:t>7</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737546" w:rsidRPr="00737546">
        <w:t>R4-2016480</w:t>
      </w:r>
      <w:bookmarkStart w:id="2" w:name="_GoBack"/>
      <w:bookmarkEnd w:id="2"/>
    </w:p>
    <w:p w:rsidR="00675C27" w:rsidRPr="00444A16" w:rsidRDefault="00BD3E28" w:rsidP="00F71A33">
      <w:pPr>
        <w:pStyle w:val="a1"/>
        <w:rPr>
          <w:rFonts w:eastAsia="宋体"/>
          <w:lang w:eastAsia="zh-CN"/>
        </w:rPr>
      </w:pPr>
      <w:r w:rsidRPr="00BD3E28">
        <w:rPr>
          <w:rFonts w:eastAsia="宋体"/>
          <w:lang w:eastAsia="zh-CN"/>
        </w:rPr>
        <w:t xml:space="preserve">Electronic Meeting, </w:t>
      </w:r>
      <w:r w:rsidR="00E76D76" w:rsidRPr="00E76D76">
        <w:rPr>
          <w:rFonts w:eastAsia="宋体"/>
          <w:lang w:eastAsia="zh-CN"/>
        </w:rPr>
        <w:t>2-13 Nov., 2020</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691A13">
        <w:rPr>
          <w:rFonts w:ascii="Arial" w:hAnsi="Arial" w:cs="Arial" w:hint="eastAsia"/>
          <w:sz w:val="22"/>
        </w:rPr>
        <w:t>, Hi</w:t>
      </w:r>
      <w:r w:rsidR="00691A13">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17151" w:rsidRPr="00C17151">
        <w:rPr>
          <w:rFonts w:ascii="Arial" w:hAnsi="Arial" w:cs="Arial"/>
          <w:sz w:val="22"/>
        </w:rPr>
        <w:t xml:space="preserve">On MPR for </w:t>
      </w:r>
      <w:r w:rsidR="00C17151">
        <w:rPr>
          <w:rFonts w:ascii="Arial" w:hAnsi="Arial" w:cs="Arial"/>
          <w:sz w:val="22"/>
        </w:rPr>
        <w:t xml:space="preserve">UL MIMO </w:t>
      </w:r>
      <w:proofErr w:type="spellStart"/>
      <w:r w:rsidR="00C17151">
        <w:rPr>
          <w:rFonts w:ascii="Arial" w:hAnsi="Arial" w:cs="Arial"/>
          <w:sz w:val="22"/>
        </w:rPr>
        <w:t>ULFPTx</w:t>
      </w:r>
      <w:proofErr w:type="spellEnd"/>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C17151" w:rsidRPr="00C17151">
        <w:rPr>
          <w:rFonts w:ascii="Arial" w:hAnsi="Arial" w:cs="Arial"/>
          <w:sz w:val="22"/>
        </w:rPr>
        <w:t>7.9.1.2</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E71995" w:rsidRDefault="006C7129" w:rsidP="00506149">
      <w:r>
        <w:t xml:space="preserve">Feature CR for </w:t>
      </w:r>
      <w:proofErr w:type="spellStart"/>
      <w:r>
        <w:t>ULFPTx</w:t>
      </w:r>
      <w:proofErr w:type="spellEnd"/>
      <w:r>
        <w:t xml:space="preserve"> was agreed in last RAN4 meeting and the Rel-16 </w:t>
      </w:r>
      <w:proofErr w:type="spellStart"/>
      <w:r>
        <w:t>eMIMO</w:t>
      </w:r>
      <w:proofErr w:type="spellEnd"/>
      <w:r>
        <w:t xml:space="preserve"> WI was closed already. However, the MPR requirement is not finished yet. Following discussion was excerpted from the moderator summary. </w:t>
      </w:r>
    </w:p>
    <w:tbl>
      <w:tblPr>
        <w:tblStyle w:val="TableGrid"/>
        <w:tblW w:w="0" w:type="auto"/>
        <w:tblLook w:val="04A0" w:firstRow="1" w:lastRow="0" w:firstColumn="1" w:lastColumn="0" w:noHBand="0" w:noVBand="1"/>
      </w:tblPr>
      <w:tblGrid>
        <w:gridCol w:w="9631"/>
      </w:tblGrid>
      <w:tr w:rsidR="006C7129" w:rsidTr="000804DD">
        <w:tc>
          <w:tcPr>
            <w:tcW w:w="9631" w:type="dxa"/>
          </w:tcPr>
          <w:p w:rsidR="006C7129" w:rsidRDefault="006C7129" w:rsidP="000804DD">
            <w:pPr>
              <w:rPr>
                <w:rFonts w:eastAsiaTheme="minorEastAsia"/>
                <w:i/>
                <w:lang w:val="en-US"/>
              </w:rPr>
            </w:pPr>
            <w:r w:rsidRPr="0014148D">
              <w:rPr>
                <w:rFonts w:eastAsiaTheme="minorEastAsia" w:hint="eastAsia"/>
                <w:i/>
                <w:lang w:val="en-US"/>
              </w:rPr>
              <w:t>Tentative agreements:</w:t>
            </w:r>
          </w:p>
          <w:p w:rsidR="006C7129" w:rsidRPr="00691A13" w:rsidRDefault="006C7129" w:rsidP="000804DD">
            <w:pPr>
              <w:pStyle w:val="ListParagraph"/>
              <w:widowControl/>
              <w:numPr>
                <w:ilvl w:val="0"/>
                <w:numId w:val="43"/>
              </w:numPr>
              <w:spacing w:after="120"/>
              <w:ind w:left="720" w:firstLineChars="0"/>
              <w:jc w:val="left"/>
              <w:rPr>
                <w:rFonts w:ascii="Times New Roman" w:hAnsi="Times New Roman"/>
                <w:sz w:val="20"/>
                <w:szCs w:val="24"/>
                <w:lang w:eastAsia="zh-CN"/>
              </w:rPr>
            </w:pPr>
            <w:r w:rsidRPr="00691A13">
              <w:rPr>
                <w:rFonts w:ascii="Times New Roman" w:hAnsi="Times New Roman"/>
                <w:sz w:val="20"/>
                <w:szCs w:val="24"/>
                <w:lang w:eastAsia="zh-CN"/>
              </w:rPr>
              <w:t xml:space="preserve">In order to introduce </w:t>
            </w:r>
            <w:proofErr w:type="spellStart"/>
            <w:r w:rsidRPr="00691A13">
              <w:rPr>
                <w:rFonts w:ascii="Times New Roman" w:hAnsi="Times New Roman"/>
                <w:sz w:val="20"/>
                <w:szCs w:val="24"/>
                <w:lang w:eastAsia="zh-CN"/>
              </w:rPr>
              <w:t>ULFPTx</w:t>
            </w:r>
            <w:proofErr w:type="spellEnd"/>
            <w:r w:rsidRPr="00691A13">
              <w:rPr>
                <w:rFonts w:ascii="Times New Roman" w:hAnsi="Times New Roman"/>
                <w:sz w:val="20"/>
                <w:szCs w:val="24"/>
                <w:lang w:eastAsia="zh-CN"/>
              </w:rPr>
              <w:t xml:space="preserve"> feature, follow endorsed CR by specifying </w:t>
            </w:r>
            <w:proofErr w:type="spellStart"/>
            <w:r w:rsidRPr="00691A13">
              <w:rPr>
                <w:rFonts w:ascii="Times New Roman" w:hAnsi="Times New Roman"/>
                <w:sz w:val="20"/>
                <w:szCs w:val="24"/>
                <w:lang w:eastAsia="zh-CN"/>
              </w:rPr>
              <w:t>ULFPTx</w:t>
            </w:r>
            <w:proofErr w:type="spellEnd"/>
            <w:r w:rsidRPr="00691A13">
              <w:rPr>
                <w:rFonts w:ascii="Times New Roman" w:hAnsi="Times New Roman"/>
                <w:sz w:val="20"/>
                <w:szCs w:val="24"/>
                <w:lang w:eastAsia="zh-CN"/>
              </w:rPr>
              <w:t xml:space="preserve"> mode’s MPR requirement by referring to Table 6.2.2-1:</w:t>
            </w:r>
          </w:p>
          <w:p w:rsidR="006C7129" w:rsidRPr="00691A13" w:rsidRDefault="006C7129" w:rsidP="000804DD">
            <w:pPr>
              <w:pStyle w:val="ListParagraph"/>
              <w:widowControl/>
              <w:numPr>
                <w:ilvl w:val="1"/>
                <w:numId w:val="43"/>
              </w:numPr>
              <w:spacing w:after="120"/>
              <w:ind w:firstLineChars="0"/>
              <w:jc w:val="left"/>
              <w:rPr>
                <w:rFonts w:ascii="Times New Roman" w:hAnsi="Times New Roman"/>
                <w:sz w:val="20"/>
                <w:szCs w:val="24"/>
                <w:lang w:eastAsia="zh-CN"/>
              </w:rPr>
            </w:pPr>
            <w:r w:rsidRPr="00691A13">
              <w:rPr>
                <w:rFonts w:ascii="Times New Roman" w:hAnsi="Times New Roman"/>
                <w:sz w:val="20"/>
                <w:szCs w:val="24"/>
                <w:lang w:eastAsia="zh-CN"/>
              </w:rPr>
              <w:t xml:space="preserve">After RAN4 update MPR requirement for 2TX due to changed emission requirement to per-UE level, the corresponding reference in </w:t>
            </w:r>
            <w:proofErr w:type="spellStart"/>
            <w:r w:rsidRPr="00691A13">
              <w:rPr>
                <w:rFonts w:ascii="Times New Roman" w:hAnsi="Times New Roman"/>
                <w:sz w:val="20"/>
                <w:szCs w:val="24"/>
                <w:lang w:eastAsia="zh-CN"/>
              </w:rPr>
              <w:t>ULFPTx</w:t>
            </w:r>
            <w:proofErr w:type="spellEnd"/>
            <w:r w:rsidRPr="00691A13">
              <w:rPr>
                <w:rFonts w:ascii="Times New Roman" w:hAnsi="Times New Roman"/>
                <w:sz w:val="20"/>
                <w:szCs w:val="24"/>
                <w:lang w:eastAsia="zh-CN"/>
              </w:rPr>
              <w:t xml:space="preserve"> part shall be updated. </w:t>
            </w:r>
          </w:p>
          <w:p w:rsidR="006C7129" w:rsidRDefault="006C7129" w:rsidP="000804DD">
            <w:pPr>
              <w:rPr>
                <w:rFonts w:eastAsiaTheme="minorEastAsia"/>
                <w:i/>
                <w:lang w:val="en-US"/>
              </w:rPr>
            </w:pPr>
            <w:r w:rsidRPr="0014148D">
              <w:rPr>
                <w:rFonts w:eastAsiaTheme="minorEastAsia"/>
                <w:i/>
                <w:lang w:val="en-US"/>
              </w:rPr>
              <w:t>Recommendations</w:t>
            </w:r>
            <w:r w:rsidRPr="0014148D">
              <w:rPr>
                <w:rFonts w:eastAsiaTheme="minorEastAsia" w:hint="eastAsia"/>
                <w:i/>
                <w:lang w:val="en-US"/>
              </w:rPr>
              <w:t xml:space="preserve"> for 2</w:t>
            </w:r>
            <w:r w:rsidRPr="0014148D">
              <w:rPr>
                <w:rFonts w:eastAsiaTheme="minorEastAsia" w:hint="eastAsia"/>
                <w:i/>
                <w:vertAlign w:val="superscript"/>
                <w:lang w:val="en-US"/>
              </w:rPr>
              <w:t>nd</w:t>
            </w:r>
            <w:r w:rsidRPr="0014148D">
              <w:rPr>
                <w:rFonts w:eastAsiaTheme="minorEastAsia" w:hint="eastAsia"/>
                <w:i/>
                <w:lang w:val="en-US"/>
              </w:rPr>
              <w:t xml:space="preserve"> round:</w:t>
            </w:r>
          </w:p>
          <w:p w:rsidR="006C7129" w:rsidRDefault="006C7129" w:rsidP="000804DD">
            <w:r>
              <w:rPr>
                <w:szCs w:val="24"/>
              </w:rPr>
              <w:t>Further discussion on above tentative agreement.</w:t>
            </w:r>
          </w:p>
        </w:tc>
      </w:tr>
    </w:tbl>
    <w:p w:rsidR="00973EEB" w:rsidRDefault="00973EEB" w:rsidP="00973EEB">
      <w:pPr>
        <w:spacing w:after="0"/>
        <w:textAlignment w:val="bottom"/>
        <w:rPr>
          <w:bCs/>
        </w:rPr>
      </w:pPr>
    </w:p>
    <w:p w:rsidR="00973EEB" w:rsidRDefault="00973EEB" w:rsidP="00973EEB">
      <w:pPr>
        <w:spacing w:after="0"/>
        <w:textAlignment w:val="bottom"/>
        <w:rPr>
          <w:bCs/>
        </w:rPr>
      </w:pPr>
      <w:r>
        <w:rPr>
          <w:bCs/>
        </w:rPr>
        <w:t>For the remaining MPR issue, as recorded in the SR, it was agreed</w:t>
      </w:r>
      <w:r w:rsidRPr="00A25DC0">
        <w:rPr>
          <w:bCs/>
        </w:rPr>
        <w:t xml:space="preserve"> to further discuss MPR issues for all 2TX related PC2 and PC3 UEs as follows:</w:t>
      </w:r>
    </w:p>
    <w:p w:rsidR="00973EEB" w:rsidRPr="00CD2195" w:rsidRDefault="00973EEB" w:rsidP="00973EEB">
      <w:pPr>
        <w:pStyle w:val="ListParagraph"/>
        <w:numPr>
          <w:ilvl w:val="0"/>
          <w:numId w:val="44"/>
        </w:numPr>
        <w:ind w:firstLineChars="0"/>
        <w:textAlignment w:val="bottom"/>
        <w:rPr>
          <w:rFonts w:ascii="Times New Roman" w:hAnsi="Times New Roman"/>
          <w:bCs/>
          <w:sz w:val="20"/>
          <w:szCs w:val="20"/>
        </w:rPr>
      </w:pPr>
      <w:r w:rsidRPr="00CD2195">
        <w:rPr>
          <w:rFonts w:ascii="Times New Roman" w:hAnsi="Times New Roman"/>
          <w:bCs/>
          <w:sz w:val="20"/>
          <w:szCs w:val="20"/>
        </w:rPr>
        <w:t xml:space="preserve">For PC2 and PC3, MPR issues related to 2TX, including UL-MIMO, uplink full power transmission, and </w:t>
      </w:r>
      <w:proofErr w:type="spellStart"/>
      <w:r w:rsidRPr="00CD2195">
        <w:rPr>
          <w:rFonts w:ascii="Times New Roman" w:hAnsi="Times New Roman"/>
          <w:bCs/>
          <w:sz w:val="20"/>
          <w:szCs w:val="20"/>
        </w:rPr>
        <w:t>TxD</w:t>
      </w:r>
      <w:proofErr w:type="spellEnd"/>
      <w:r w:rsidRPr="00CD2195">
        <w:rPr>
          <w:rFonts w:ascii="Times New Roman" w:hAnsi="Times New Roman"/>
          <w:bCs/>
          <w:sz w:val="20"/>
          <w:szCs w:val="20"/>
        </w:rPr>
        <w:t>, will be further discussed in TEI16.</w:t>
      </w:r>
    </w:p>
    <w:p w:rsidR="006C7129" w:rsidRPr="00973EEB" w:rsidRDefault="00973EEB" w:rsidP="006C7129">
      <w:pPr>
        <w:spacing w:before="120"/>
        <w:rPr>
          <w:lang w:val="x-none"/>
        </w:rPr>
      </w:pPr>
      <w:r>
        <w:rPr>
          <w:lang w:val="x-none"/>
        </w:rPr>
        <w:t xml:space="preserve">In other words, it means the requirements for </w:t>
      </w:r>
      <w:proofErr w:type="spellStart"/>
      <w:r>
        <w:rPr>
          <w:lang w:val="x-none"/>
        </w:rPr>
        <w:t>ULFPTx</w:t>
      </w:r>
      <w:proofErr w:type="spellEnd"/>
      <w:r>
        <w:rPr>
          <w:lang w:val="x-none"/>
        </w:rPr>
        <w:t xml:space="preserve"> are incomplete yet. This contribution further discuss the MPR requirements for </w:t>
      </w:r>
      <w:r w:rsidR="00244D50">
        <w:rPr>
          <w:lang w:val="x-none"/>
        </w:rPr>
        <w:t xml:space="preserve">UL-MIMO </w:t>
      </w:r>
      <w:proofErr w:type="spellStart"/>
      <w:r w:rsidR="00244D50">
        <w:rPr>
          <w:lang w:val="x-none"/>
        </w:rPr>
        <w:t>ULFPTx</w:t>
      </w:r>
      <w:proofErr w:type="spellEnd"/>
      <w:r w:rsidR="00244D50">
        <w:rPr>
          <w:lang w:val="x-none"/>
        </w:rPr>
        <w:t xml:space="preserve"> and </w:t>
      </w:r>
      <w:proofErr w:type="spellStart"/>
      <w:r w:rsidR="00244D50">
        <w:rPr>
          <w:lang w:val="x-none"/>
        </w:rPr>
        <w:t>TxD</w:t>
      </w:r>
      <w:proofErr w:type="spellEnd"/>
      <w:r w:rsidR="00244D50">
        <w:rPr>
          <w:lang w:val="x-none"/>
        </w:rPr>
        <w:t>.</w:t>
      </w:r>
    </w:p>
    <w:p w:rsidR="00062E8E" w:rsidRDefault="00062E8E" w:rsidP="00F23E96">
      <w:pPr>
        <w:pStyle w:val="Heading1"/>
        <w:spacing w:after="240"/>
        <w:rPr>
          <w:rFonts w:eastAsia="宋体"/>
          <w:lang w:eastAsia="zh-CN"/>
        </w:rPr>
      </w:pPr>
      <w:r>
        <w:rPr>
          <w:rFonts w:eastAsia="宋体" w:hint="eastAsia"/>
          <w:lang w:eastAsia="zh-CN"/>
        </w:rPr>
        <w:t>Discussion</w:t>
      </w:r>
    </w:p>
    <w:p w:rsidR="00691A13" w:rsidRDefault="00CE03A0" w:rsidP="00B029C7">
      <w:r>
        <w:t xml:space="preserve">The following MPR requirements for UL MIMO as well as </w:t>
      </w:r>
      <w:proofErr w:type="spellStart"/>
      <w:r>
        <w:t>ULFPTx</w:t>
      </w:r>
      <w:proofErr w:type="spellEnd"/>
      <w:r>
        <w:t xml:space="preserve"> are specified in TS 38.101-1.</w:t>
      </w:r>
    </w:p>
    <w:tbl>
      <w:tblPr>
        <w:tblStyle w:val="TableGrid"/>
        <w:tblW w:w="0" w:type="auto"/>
        <w:tblLook w:val="04A0" w:firstRow="1" w:lastRow="0" w:firstColumn="1" w:lastColumn="0" w:noHBand="0" w:noVBand="1"/>
      </w:tblPr>
      <w:tblGrid>
        <w:gridCol w:w="9631"/>
      </w:tblGrid>
      <w:tr w:rsidR="00CE03A0" w:rsidTr="00CE03A0">
        <w:tc>
          <w:tcPr>
            <w:tcW w:w="9631" w:type="dxa"/>
          </w:tcPr>
          <w:p w:rsidR="00CE03A0" w:rsidRPr="001C0CC4" w:rsidRDefault="00CE03A0" w:rsidP="00CE03A0">
            <w:pPr>
              <w:pStyle w:val="Heading3"/>
              <w:numPr>
                <w:ilvl w:val="0"/>
                <w:numId w:val="0"/>
              </w:numPr>
              <w:outlineLvl w:val="2"/>
            </w:pPr>
            <w:bookmarkStart w:id="3" w:name="_Toc21344283"/>
            <w:bookmarkStart w:id="4" w:name="_Toc29801769"/>
            <w:bookmarkStart w:id="5" w:name="_Toc29802193"/>
            <w:bookmarkStart w:id="6" w:name="_Toc29802818"/>
            <w:bookmarkStart w:id="7" w:name="_Toc36107560"/>
            <w:bookmarkStart w:id="8" w:name="_Toc37251326"/>
            <w:bookmarkStart w:id="9" w:name="_Toc45888141"/>
            <w:bookmarkStart w:id="10" w:name="_Toc45888740"/>
            <w:r w:rsidRPr="001C0CC4">
              <w:t>6.2</w:t>
            </w:r>
            <w:r w:rsidRPr="001C0CC4">
              <w:rPr>
                <w:rFonts w:hint="eastAsia"/>
              </w:rPr>
              <w:t>D.2</w:t>
            </w:r>
            <w:r w:rsidRPr="001C0CC4">
              <w:tab/>
              <w:t xml:space="preserve">UE maximum output power reduction for </w:t>
            </w:r>
            <w:r w:rsidRPr="001C0CC4">
              <w:rPr>
                <w:rFonts w:hint="eastAsia"/>
              </w:rPr>
              <w:t>UL MIMO</w:t>
            </w:r>
            <w:bookmarkEnd w:id="3"/>
            <w:bookmarkEnd w:id="4"/>
            <w:bookmarkEnd w:id="5"/>
            <w:bookmarkEnd w:id="6"/>
            <w:bookmarkEnd w:id="7"/>
            <w:bookmarkEnd w:id="8"/>
            <w:bookmarkEnd w:id="9"/>
            <w:bookmarkEnd w:id="10"/>
          </w:p>
          <w:p w:rsidR="00CE03A0" w:rsidRDefault="00CE03A0" w:rsidP="00CE03A0">
            <w:r w:rsidRPr="001C0CC4">
              <w:t>For UE with two transmit antenna connectors in closed-loop spatial multiplexing scheme, the allowed Maximum Power Reduction (MPR) for the maximum output power in Table 6.2</w:t>
            </w:r>
            <w:r w:rsidRPr="001C0CC4">
              <w:rPr>
                <w:rFonts w:hint="eastAsia"/>
              </w:rPr>
              <w:t>D</w:t>
            </w:r>
            <w:r w:rsidRPr="001C0CC4">
              <w:t>.</w:t>
            </w:r>
            <w:r w:rsidRPr="001C0CC4">
              <w:rPr>
                <w:rFonts w:hint="eastAsia"/>
              </w:rPr>
              <w:t>1</w:t>
            </w:r>
            <w:r w:rsidRPr="001C0CC4">
              <w:t>-1 is specified in Table 6.2.2-1. The requirements shall be met with UL MIMO configurations defined in Table 6.2</w:t>
            </w:r>
            <w:r w:rsidRPr="001C0CC4">
              <w:rPr>
                <w:rFonts w:hint="eastAsia"/>
              </w:rPr>
              <w:t>D</w:t>
            </w:r>
            <w:r w:rsidRPr="001C0CC4">
              <w:t>.</w:t>
            </w:r>
            <w:r w:rsidRPr="001C0CC4">
              <w:rPr>
                <w:rFonts w:hint="eastAsia"/>
              </w:rPr>
              <w:t>1</w:t>
            </w:r>
            <w:r w:rsidRPr="001C0CC4">
              <w:t xml:space="preserve">-2. For UE supporting UL MIMO, the maximum output power is </w:t>
            </w:r>
            <w:r>
              <w:t>defined</w:t>
            </w:r>
            <w:r w:rsidRPr="001C0CC4">
              <w:t xml:space="preserve"> as the sum of the maximum output power </w:t>
            </w:r>
            <w:r>
              <w:t>from both</w:t>
            </w:r>
            <w:r w:rsidRPr="001C0CC4">
              <w:t xml:space="preserve"> UE antenna connector</w:t>
            </w:r>
            <w:r>
              <w:t>s</w:t>
            </w:r>
            <w:r w:rsidRPr="001C0CC4">
              <w:t>.</w:t>
            </w:r>
          </w:p>
          <w:p w:rsidR="00CE03A0" w:rsidRPr="001C0CC4" w:rsidRDefault="00CE03A0" w:rsidP="00CE03A0">
            <w:r>
              <w:t>For UE</w:t>
            </w:r>
            <w:r w:rsidRPr="00172250">
              <w:t xml:space="preserve"> </w:t>
            </w:r>
            <w:r>
              <w:t>support uplink full power transmission (</w:t>
            </w:r>
            <w:proofErr w:type="spellStart"/>
            <w:r>
              <w:t>ULFPTx</w:t>
            </w:r>
            <w:proofErr w:type="spellEnd"/>
            <w:r>
              <w:t>) for UL MIMO, the allowed MPR</w:t>
            </w:r>
            <w:r w:rsidRPr="001C0CC4">
              <w:t xml:space="preserve"> for the maximum output power in Table 6.2</w:t>
            </w:r>
            <w:r w:rsidRPr="001C0CC4">
              <w:rPr>
                <w:rFonts w:hint="eastAsia"/>
              </w:rPr>
              <w:t>D</w:t>
            </w:r>
            <w:r w:rsidRPr="001C0CC4">
              <w:t>.</w:t>
            </w:r>
            <w:r w:rsidRPr="001C0CC4">
              <w:rPr>
                <w:rFonts w:hint="eastAsia"/>
              </w:rPr>
              <w:t>1</w:t>
            </w:r>
            <w:r w:rsidRPr="001C0CC4">
              <w:t>-1 is specified in Table 6.2.2-1</w:t>
            </w:r>
            <w:r>
              <w:t>, and the</w:t>
            </w:r>
            <w:r w:rsidRPr="001C0CC4">
              <w:t xml:space="preserve"> requirements shall be met with </w:t>
            </w:r>
            <w:r>
              <w:t>the PUSCH</w:t>
            </w:r>
            <w:r w:rsidRPr="001C0CC4">
              <w:t xml:space="preserve"> configurations </w:t>
            </w:r>
            <w:r>
              <w:t>specified</w:t>
            </w:r>
            <w:r w:rsidRPr="001C0CC4">
              <w:t xml:space="preserve"> in Table 6.2</w:t>
            </w:r>
            <w:r w:rsidRPr="001C0CC4">
              <w:rPr>
                <w:rFonts w:hint="eastAsia"/>
              </w:rPr>
              <w:t>D</w:t>
            </w:r>
            <w:r w:rsidRPr="001C0CC4">
              <w:t>.</w:t>
            </w:r>
            <w:r w:rsidRPr="001C0CC4">
              <w:rPr>
                <w:rFonts w:hint="eastAsia"/>
              </w:rPr>
              <w:t>1</w:t>
            </w:r>
            <w:r>
              <w:t>-3, based upon UE’s support of uplink full power transmission mode</w:t>
            </w:r>
            <w:r w:rsidRPr="001C0CC4">
              <w:t>.</w:t>
            </w:r>
          </w:p>
          <w:p w:rsidR="00CE03A0" w:rsidRDefault="00CE03A0" w:rsidP="00B029C7">
            <w:r w:rsidRPr="001C0CC4">
              <w:t xml:space="preserve">For the UE maximum output power modified by MPR, the power limits specified in </w:t>
            </w:r>
            <w:r>
              <w:t>clause</w:t>
            </w:r>
            <w:r w:rsidRPr="001C0CC4">
              <w:t xml:space="preserve"> 6.2</w:t>
            </w:r>
            <w:r w:rsidRPr="001C0CC4">
              <w:rPr>
                <w:rFonts w:hint="eastAsia"/>
              </w:rPr>
              <w:t>D</w:t>
            </w:r>
            <w:r w:rsidRPr="001C0CC4">
              <w:t>.</w:t>
            </w:r>
            <w:r w:rsidRPr="001C0CC4">
              <w:rPr>
                <w:rFonts w:hint="eastAsia"/>
              </w:rPr>
              <w:t>4</w:t>
            </w:r>
            <w:r w:rsidRPr="001C0CC4">
              <w:t xml:space="preserve"> apply.</w:t>
            </w:r>
          </w:p>
        </w:tc>
      </w:tr>
    </w:tbl>
    <w:p w:rsidR="00CE03A0" w:rsidRDefault="00CE03A0" w:rsidP="00B029C7"/>
    <w:p w:rsidR="00691A13" w:rsidRDefault="00CE03A0" w:rsidP="00B029C7">
      <w:r>
        <w:t xml:space="preserve">It is noted that the MPR requirements only refer to Table 6.2.2-1, which is the MPR for PC3. </w:t>
      </w:r>
      <w:r w:rsidR="005F1CBD">
        <w:t xml:space="preserve">As we already have the agreement that unwanted emissions for UL MIMO would be defined per UE, we think that the MPR requirements already reflect this kind of changes, i.e. PC3 MPR can cover both 1T and 2T requirements, and it is aligned with our evaluation [3]. </w:t>
      </w:r>
    </w:p>
    <w:p w:rsidR="005F1CBD" w:rsidRDefault="005F1CBD" w:rsidP="00B029C7">
      <w:pPr>
        <w:rPr>
          <w:b/>
          <w:i/>
        </w:rPr>
      </w:pPr>
      <w:r w:rsidRPr="005F1CBD">
        <w:rPr>
          <w:b/>
          <w:i/>
        </w:rPr>
        <w:lastRenderedPageBreak/>
        <w:t xml:space="preserve">Observation 1: </w:t>
      </w:r>
      <w:r>
        <w:rPr>
          <w:b/>
          <w:i/>
        </w:rPr>
        <w:t>PC3 MPR can cover both 1T and 2T cases</w:t>
      </w:r>
      <w:r w:rsidR="00603714">
        <w:rPr>
          <w:b/>
          <w:i/>
        </w:rPr>
        <w:t xml:space="preserve"> in the specification</w:t>
      </w:r>
      <w:r>
        <w:rPr>
          <w:b/>
          <w:i/>
        </w:rPr>
        <w:t>. Only PC2 MPR needs to be further evaluated for 2Tx implementation based on per UE defined unwanted emissions.</w:t>
      </w:r>
    </w:p>
    <w:p w:rsidR="005F1CBD" w:rsidRPr="005F1CBD" w:rsidRDefault="00A62FAF" w:rsidP="00B029C7">
      <w:r>
        <w:t xml:space="preserve">During the discussion for 2Tx requirements, </w:t>
      </w:r>
      <w:r w:rsidR="00603714">
        <w:t xml:space="preserve">it was not concluded yet whether the MPR requirements should be different between UL MIMO and </w:t>
      </w:r>
      <w:proofErr w:type="spellStart"/>
      <w:r w:rsidR="00603714">
        <w:t>TxD</w:t>
      </w:r>
      <w:proofErr w:type="spellEnd"/>
      <w:r w:rsidR="00603714">
        <w:t xml:space="preserve">. However, </w:t>
      </w:r>
      <w:r w:rsidR="00662EA0">
        <w:t xml:space="preserve">though </w:t>
      </w:r>
      <w:proofErr w:type="spellStart"/>
      <w:r w:rsidR="00662EA0">
        <w:t>ULFPTx</w:t>
      </w:r>
      <w:proofErr w:type="spellEnd"/>
      <w:r w:rsidR="00662EA0">
        <w:t xml:space="preserve"> was discussed under </w:t>
      </w:r>
      <w:proofErr w:type="spellStart"/>
      <w:r w:rsidR="00662EA0">
        <w:t>eMIMO</w:t>
      </w:r>
      <w:proofErr w:type="spellEnd"/>
      <w:r w:rsidR="00662EA0">
        <w:t xml:space="preserve"> WI, as confirmed by RAN1 LS [</w:t>
      </w:r>
      <w:r w:rsidR="00B14E16">
        <w:t>4</w:t>
      </w:r>
      <w:r w:rsidR="00662EA0">
        <w:t xml:space="preserve">], at least </w:t>
      </w:r>
      <w:proofErr w:type="spellStart"/>
      <w:r w:rsidR="00662EA0">
        <w:t>ULFPTx</w:t>
      </w:r>
      <w:proofErr w:type="spellEnd"/>
      <w:r w:rsidR="00662EA0">
        <w:t xml:space="preserve"> mode 1 is actually </w:t>
      </w:r>
      <w:proofErr w:type="spellStart"/>
      <w:r w:rsidR="00662EA0">
        <w:t>TxD</w:t>
      </w:r>
      <w:proofErr w:type="spellEnd"/>
      <w:r w:rsidR="00662EA0">
        <w:t xml:space="preserve"> implementation. If the MPR requirement</w:t>
      </w:r>
      <w:r w:rsidR="00B14E16">
        <w:t xml:space="preserve"> for </w:t>
      </w:r>
      <w:proofErr w:type="spellStart"/>
      <w:r w:rsidR="00B14E16">
        <w:t>ULFPTx</w:t>
      </w:r>
      <w:proofErr w:type="spellEnd"/>
      <w:r w:rsidR="00B14E16">
        <w:t xml:space="preserve"> is </w:t>
      </w:r>
      <w:r w:rsidR="00662EA0">
        <w:t>considered as UL MIMO requirement</w:t>
      </w:r>
      <w:r w:rsidR="00B14E16">
        <w:t xml:space="preserve">, while the MPR is defined differently for </w:t>
      </w:r>
      <w:proofErr w:type="spellStart"/>
      <w:r w:rsidR="00B14E16">
        <w:t>TxD</w:t>
      </w:r>
      <w:proofErr w:type="spellEnd"/>
      <w:r w:rsidR="00B14E16">
        <w:t xml:space="preserve">, the requirement will be broken for </w:t>
      </w:r>
      <w:proofErr w:type="spellStart"/>
      <w:r w:rsidR="00B14E16">
        <w:t>ULFPTx</w:t>
      </w:r>
      <w:proofErr w:type="spellEnd"/>
      <w:r w:rsidR="00B14E16">
        <w:t>. In addition, after long evaluation of the MPR requirements</w:t>
      </w:r>
      <w:r w:rsidR="00F80A77">
        <w:t xml:space="preserve"> for PC1.5</w:t>
      </w:r>
      <w:r w:rsidR="00B14E16">
        <w:t>, in the end, one set of</w:t>
      </w:r>
      <w:r w:rsidR="00F80A77">
        <w:t xml:space="preserve"> requirements were</w:t>
      </w:r>
      <w:r w:rsidR="00B14E16">
        <w:t xml:space="preserve"> defined for </w:t>
      </w:r>
      <w:r w:rsidR="00F80A77">
        <w:t xml:space="preserve">both UL MIMO and </w:t>
      </w:r>
      <w:proofErr w:type="spellStart"/>
      <w:r w:rsidR="00F80A77">
        <w:t>TxD</w:t>
      </w:r>
      <w:proofErr w:type="spellEnd"/>
      <w:r w:rsidR="00F80A77">
        <w:t xml:space="preserve">, which fully justified that it is feasible to have the same MPR requirements for MIMO and </w:t>
      </w:r>
      <w:proofErr w:type="spellStart"/>
      <w:r w:rsidR="00F80A77">
        <w:t>TxD</w:t>
      </w:r>
      <w:proofErr w:type="spellEnd"/>
      <w:r w:rsidR="00F80A77">
        <w:t xml:space="preserve">, as they are both 2Tx based. </w:t>
      </w:r>
    </w:p>
    <w:p w:rsidR="00F80A77" w:rsidRDefault="00F80A77" w:rsidP="00F80A77">
      <w:r w:rsidRPr="005F1CBD">
        <w:rPr>
          <w:b/>
          <w:i/>
        </w:rPr>
        <w:t xml:space="preserve">Observation </w:t>
      </w:r>
      <w:r>
        <w:rPr>
          <w:b/>
          <w:i/>
        </w:rPr>
        <w:t>2</w:t>
      </w:r>
      <w:r w:rsidRPr="005F1CBD">
        <w:rPr>
          <w:b/>
          <w:i/>
        </w:rPr>
        <w:t>:</w:t>
      </w:r>
      <w:r>
        <w:rPr>
          <w:b/>
          <w:i/>
        </w:rPr>
        <w:t xml:space="preserve"> </w:t>
      </w:r>
      <w:proofErr w:type="spellStart"/>
      <w:r>
        <w:rPr>
          <w:b/>
          <w:i/>
        </w:rPr>
        <w:t>ULFPTx</w:t>
      </w:r>
      <w:proofErr w:type="spellEnd"/>
      <w:r>
        <w:rPr>
          <w:b/>
          <w:i/>
        </w:rPr>
        <w:t xml:space="preserve"> mode 1 is implemented by </w:t>
      </w:r>
      <w:proofErr w:type="spellStart"/>
      <w:r>
        <w:rPr>
          <w:b/>
          <w:i/>
        </w:rPr>
        <w:t>TxD</w:t>
      </w:r>
      <w:proofErr w:type="spellEnd"/>
      <w:r>
        <w:rPr>
          <w:b/>
          <w:i/>
        </w:rPr>
        <w:t xml:space="preserve"> </w:t>
      </w:r>
      <w:r w:rsidR="0055285F">
        <w:rPr>
          <w:b/>
          <w:i/>
        </w:rPr>
        <w:t xml:space="preserve">actually, have different MPR for </w:t>
      </w:r>
      <w:proofErr w:type="spellStart"/>
      <w:r w:rsidR="0055285F">
        <w:rPr>
          <w:b/>
          <w:i/>
        </w:rPr>
        <w:t>ULFPTx</w:t>
      </w:r>
      <w:proofErr w:type="spellEnd"/>
      <w:r w:rsidR="0055285F">
        <w:rPr>
          <w:b/>
          <w:i/>
        </w:rPr>
        <w:t xml:space="preserve"> and </w:t>
      </w:r>
      <w:proofErr w:type="spellStart"/>
      <w:r w:rsidR="0055285F">
        <w:rPr>
          <w:b/>
          <w:i/>
        </w:rPr>
        <w:t>TxD</w:t>
      </w:r>
      <w:proofErr w:type="spellEnd"/>
      <w:r w:rsidR="0055285F">
        <w:rPr>
          <w:b/>
          <w:i/>
        </w:rPr>
        <w:t xml:space="preserve"> will broke the consistency of requirements for the same implementation</w:t>
      </w:r>
      <w:r>
        <w:rPr>
          <w:b/>
          <w:i/>
        </w:rPr>
        <w:t>.</w:t>
      </w:r>
    </w:p>
    <w:p w:rsidR="005F1CBD" w:rsidRDefault="00F80A77" w:rsidP="00B029C7">
      <w:pPr>
        <w:rPr>
          <w:b/>
          <w:i/>
        </w:rPr>
      </w:pPr>
      <w:r w:rsidRPr="005F1CBD">
        <w:rPr>
          <w:b/>
          <w:i/>
        </w:rPr>
        <w:t xml:space="preserve">Observation </w:t>
      </w:r>
      <w:r>
        <w:rPr>
          <w:b/>
          <w:i/>
        </w:rPr>
        <w:t>3</w:t>
      </w:r>
      <w:r w:rsidRPr="005F1CBD">
        <w:rPr>
          <w:b/>
          <w:i/>
        </w:rPr>
        <w:t xml:space="preserve">: </w:t>
      </w:r>
      <w:r>
        <w:rPr>
          <w:b/>
          <w:i/>
        </w:rPr>
        <w:t xml:space="preserve">According to the study of PC1.5, it is reasonable to define one set of MPR requirements for both UL MIMO and </w:t>
      </w:r>
      <w:proofErr w:type="spellStart"/>
      <w:r>
        <w:rPr>
          <w:b/>
          <w:i/>
        </w:rPr>
        <w:t>TxD</w:t>
      </w:r>
      <w:proofErr w:type="spellEnd"/>
      <w:r>
        <w:rPr>
          <w:b/>
          <w:i/>
        </w:rPr>
        <w:t>.</w:t>
      </w:r>
    </w:p>
    <w:p w:rsidR="0055285F" w:rsidRDefault="0055285F" w:rsidP="00B029C7">
      <w:r>
        <w:t>Based on the observations, we have the following proposals:</w:t>
      </w:r>
    </w:p>
    <w:p w:rsidR="0055285F" w:rsidRDefault="0055285F" w:rsidP="00B029C7">
      <w:pPr>
        <w:rPr>
          <w:b/>
          <w:i/>
        </w:rPr>
      </w:pPr>
      <w:r>
        <w:rPr>
          <w:b/>
          <w:i/>
        </w:rPr>
        <w:t>Proposal</w:t>
      </w:r>
      <w:r w:rsidRPr="005F1CBD">
        <w:rPr>
          <w:b/>
          <w:i/>
        </w:rPr>
        <w:t xml:space="preserve"> 1: </w:t>
      </w:r>
      <w:r>
        <w:rPr>
          <w:b/>
          <w:i/>
        </w:rPr>
        <w:t>Only PC2 MPR for 2Tx should be further specified.</w:t>
      </w:r>
    </w:p>
    <w:p w:rsidR="0055285F" w:rsidRPr="0055285F" w:rsidRDefault="0055285F" w:rsidP="00B029C7">
      <w:r>
        <w:rPr>
          <w:b/>
          <w:i/>
        </w:rPr>
        <w:t xml:space="preserve">Proposal 2: One set of MPR requirements should be adopted for both UL MIMO (including </w:t>
      </w:r>
      <w:proofErr w:type="spellStart"/>
      <w:r>
        <w:rPr>
          <w:b/>
          <w:i/>
        </w:rPr>
        <w:t>ULFPTx</w:t>
      </w:r>
      <w:proofErr w:type="spellEnd"/>
      <w:r>
        <w:rPr>
          <w:b/>
          <w:i/>
        </w:rPr>
        <w:t xml:space="preserve">) and </w:t>
      </w:r>
      <w:proofErr w:type="spellStart"/>
      <w:r>
        <w:rPr>
          <w:b/>
          <w:i/>
        </w:rPr>
        <w:t>TxD</w:t>
      </w:r>
      <w:proofErr w:type="spellEnd"/>
      <w:r>
        <w:rPr>
          <w:b/>
          <w:i/>
        </w:rPr>
        <w:t>.</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366682" w:rsidP="00303E78">
      <w:r>
        <w:t xml:space="preserve">Consideration of the leftover MPR requirement for </w:t>
      </w:r>
      <w:proofErr w:type="spellStart"/>
      <w:r>
        <w:t>ULFPTx</w:t>
      </w:r>
      <w:proofErr w:type="spellEnd"/>
      <w:r>
        <w:t xml:space="preserve"> is provided in the contribution and we have the following observations as well as proposals: </w:t>
      </w:r>
    </w:p>
    <w:p w:rsidR="00366682" w:rsidRDefault="00366682" w:rsidP="00366682">
      <w:pPr>
        <w:rPr>
          <w:b/>
          <w:i/>
        </w:rPr>
      </w:pPr>
      <w:r w:rsidRPr="005F1CBD">
        <w:rPr>
          <w:b/>
          <w:i/>
        </w:rPr>
        <w:t xml:space="preserve">Observation 1: </w:t>
      </w:r>
      <w:r>
        <w:rPr>
          <w:b/>
          <w:i/>
        </w:rPr>
        <w:t>PC3 MPR can cover both 1T and 2T cases in the specification. Only PC2 MPR needs to be further evaluated for 2Tx implementation based on per UE defined unwanted emissions.</w:t>
      </w:r>
    </w:p>
    <w:p w:rsidR="00366682" w:rsidRDefault="00366682" w:rsidP="00366682">
      <w:r w:rsidRPr="005F1CBD">
        <w:rPr>
          <w:b/>
          <w:i/>
        </w:rPr>
        <w:t xml:space="preserve">Observation </w:t>
      </w:r>
      <w:r>
        <w:rPr>
          <w:b/>
          <w:i/>
        </w:rPr>
        <w:t>2</w:t>
      </w:r>
      <w:r w:rsidRPr="005F1CBD">
        <w:rPr>
          <w:b/>
          <w:i/>
        </w:rPr>
        <w:t>:</w:t>
      </w:r>
      <w:r>
        <w:rPr>
          <w:b/>
          <w:i/>
        </w:rPr>
        <w:t xml:space="preserve"> </w:t>
      </w:r>
      <w:proofErr w:type="spellStart"/>
      <w:r>
        <w:rPr>
          <w:b/>
          <w:i/>
        </w:rPr>
        <w:t>ULFPTx</w:t>
      </w:r>
      <w:proofErr w:type="spellEnd"/>
      <w:r>
        <w:rPr>
          <w:b/>
          <w:i/>
        </w:rPr>
        <w:t xml:space="preserve"> mode 1 is implemented by </w:t>
      </w:r>
      <w:proofErr w:type="spellStart"/>
      <w:r>
        <w:rPr>
          <w:b/>
          <w:i/>
        </w:rPr>
        <w:t>TxD</w:t>
      </w:r>
      <w:proofErr w:type="spellEnd"/>
      <w:r>
        <w:rPr>
          <w:b/>
          <w:i/>
        </w:rPr>
        <w:t xml:space="preserve"> actually, have different MPR for </w:t>
      </w:r>
      <w:proofErr w:type="spellStart"/>
      <w:r>
        <w:rPr>
          <w:b/>
          <w:i/>
        </w:rPr>
        <w:t>ULFPTx</w:t>
      </w:r>
      <w:proofErr w:type="spellEnd"/>
      <w:r>
        <w:rPr>
          <w:b/>
          <w:i/>
        </w:rPr>
        <w:t xml:space="preserve"> and </w:t>
      </w:r>
      <w:proofErr w:type="spellStart"/>
      <w:r>
        <w:rPr>
          <w:b/>
          <w:i/>
        </w:rPr>
        <w:t>TxD</w:t>
      </w:r>
      <w:proofErr w:type="spellEnd"/>
      <w:r>
        <w:rPr>
          <w:b/>
          <w:i/>
        </w:rPr>
        <w:t xml:space="preserve"> will broke the consistency of requirements for the same implementation.</w:t>
      </w:r>
    </w:p>
    <w:p w:rsidR="00366682" w:rsidRDefault="00366682" w:rsidP="00366682">
      <w:pPr>
        <w:rPr>
          <w:b/>
          <w:i/>
        </w:rPr>
      </w:pPr>
      <w:r w:rsidRPr="005F1CBD">
        <w:rPr>
          <w:b/>
          <w:i/>
        </w:rPr>
        <w:t xml:space="preserve">Observation </w:t>
      </w:r>
      <w:r>
        <w:rPr>
          <w:b/>
          <w:i/>
        </w:rPr>
        <w:t>3</w:t>
      </w:r>
      <w:r w:rsidRPr="005F1CBD">
        <w:rPr>
          <w:b/>
          <w:i/>
        </w:rPr>
        <w:t xml:space="preserve">: </w:t>
      </w:r>
      <w:r>
        <w:rPr>
          <w:b/>
          <w:i/>
        </w:rPr>
        <w:t xml:space="preserve">According to the study of PC1.5, it is reasonable to define one set of MPR requirements for both UL MIMO and </w:t>
      </w:r>
      <w:proofErr w:type="spellStart"/>
      <w:r>
        <w:rPr>
          <w:b/>
          <w:i/>
        </w:rPr>
        <w:t>TxD</w:t>
      </w:r>
      <w:proofErr w:type="spellEnd"/>
      <w:r>
        <w:rPr>
          <w:b/>
          <w:i/>
        </w:rPr>
        <w:t>.</w:t>
      </w:r>
    </w:p>
    <w:p w:rsidR="00366682" w:rsidRDefault="00366682" w:rsidP="00366682">
      <w:pPr>
        <w:rPr>
          <w:b/>
          <w:i/>
        </w:rPr>
      </w:pPr>
      <w:r>
        <w:rPr>
          <w:b/>
          <w:i/>
        </w:rPr>
        <w:t>Proposal</w:t>
      </w:r>
      <w:r w:rsidRPr="005F1CBD">
        <w:rPr>
          <w:b/>
          <w:i/>
        </w:rPr>
        <w:t xml:space="preserve"> 1: </w:t>
      </w:r>
      <w:r>
        <w:rPr>
          <w:b/>
          <w:i/>
        </w:rPr>
        <w:t>Only PC2 MPR for 2Tx should be further specified.</w:t>
      </w:r>
    </w:p>
    <w:p w:rsidR="00366682" w:rsidRDefault="00366682" w:rsidP="00366682">
      <w:pPr>
        <w:rPr>
          <w:b/>
          <w:i/>
        </w:rPr>
      </w:pPr>
      <w:r>
        <w:rPr>
          <w:b/>
          <w:i/>
        </w:rPr>
        <w:t xml:space="preserve">Proposal 2: One set of MPR requirements should be adopted for both UL MIMO (including </w:t>
      </w:r>
      <w:proofErr w:type="spellStart"/>
      <w:r>
        <w:rPr>
          <w:b/>
          <w:i/>
        </w:rPr>
        <w:t>ULFPTx</w:t>
      </w:r>
      <w:proofErr w:type="spellEnd"/>
      <w:r>
        <w:rPr>
          <w:b/>
          <w:i/>
        </w:rPr>
        <w:t xml:space="preserve">) and </w:t>
      </w:r>
      <w:proofErr w:type="spellStart"/>
      <w:r>
        <w:rPr>
          <w:b/>
          <w:i/>
        </w:rPr>
        <w:t>TxD</w:t>
      </w:r>
      <w:proofErr w:type="spellEnd"/>
      <w:r>
        <w:rPr>
          <w:b/>
          <w:i/>
        </w:rPr>
        <w:t>.</w:t>
      </w:r>
    </w:p>
    <w:p w:rsidR="00366682" w:rsidRPr="00366682" w:rsidRDefault="00366682" w:rsidP="00366682"/>
    <w:p w:rsidR="00B22DA6" w:rsidRDefault="00B22DA6" w:rsidP="00B22DA6">
      <w:pPr>
        <w:pStyle w:val="Heading1"/>
        <w:numPr>
          <w:ilvl w:val="0"/>
          <w:numId w:val="0"/>
        </w:numPr>
        <w:rPr>
          <w:rFonts w:eastAsia="宋体"/>
          <w:lang w:eastAsia="zh-CN"/>
        </w:rPr>
      </w:pPr>
      <w:r>
        <w:t>References</w:t>
      </w:r>
    </w:p>
    <w:p w:rsidR="00C53757" w:rsidRDefault="0035262B" w:rsidP="00F71A33">
      <w:pPr>
        <w:rPr>
          <w:noProof/>
        </w:rPr>
      </w:pPr>
      <w:r>
        <w:rPr>
          <w:rFonts w:hint="eastAsia"/>
        </w:rPr>
        <w:t>[1]</w:t>
      </w:r>
      <w:r w:rsidR="00E71995">
        <w:t xml:space="preserve"> </w:t>
      </w:r>
      <w:r w:rsidR="006C7129" w:rsidRPr="006C7129">
        <w:t>R4-2011762</w:t>
      </w:r>
      <w:r w:rsidR="006C7129">
        <w:t xml:space="preserve">, </w:t>
      </w:r>
      <w:r w:rsidR="006C7129" w:rsidRPr="00B6090A">
        <w:t>CR to TS38.101-1 on introduction of Uplink Full Power Transmission</w:t>
      </w:r>
      <w:r w:rsidR="006C7129">
        <w:t xml:space="preserve">, </w:t>
      </w:r>
      <w:r w:rsidR="006C7129">
        <w:rPr>
          <w:noProof/>
        </w:rPr>
        <w:t>Samsung, Qualcomm</w:t>
      </w:r>
    </w:p>
    <w:p w:rsidR="006C7129" w:rsidRDefault="006C7129" w:rsidP="00F71A33">
      <w:pPr>
        <w:rPr>
          <w:noProof/>
        </w:rPr>
      </w:pPr>
      <w:r>
        <w:rPr>
          <w:noProof/>
        </w:rPr>
        <w:t xml:space="preserve">[2] </w:t>
      </w:r>
      <w:r w:rsidRPr="006C7129">
        <w:rPr>
          <w:noProof/>
        </w:rPr>
        <w:t>RP-201971</w:t>
      </w:r>
      <w:r>
        <w:rPr>
          <w:noProof/>
        </w:rPr>
        <w:t xml:space="preserve">, </w:t>
      </w:r>
      <w:r w:rsidRPr="006C7129">
        <w:rPr>
          <w:noProof/>
        </w:rPr>
        <w:t>Status Report for WI Enhancem</w:t>
      </w:r>
      <w:r>
        <w:rPr>
          <w:noProof/>
        </w:rPr>
        <w:t>ents on MIMO for NR, Samsung</w:t>
      </w:r>
    </w:p>
    <w:p w:rsidR="00CE03A0" w:rsidRDefault="00CE03A0" w:rsidP="00F71A33">
      <w:pPr>
        <w:rPr>
          <w:noProof/>
        </w:rPr>
      </w:pPr>
      <w:r>
        <w:rPr>
          <w:noProof/>
        </w:rPr>
        <w:t xml:space="preserve">[3] </w:t>
      </w:r>
      <w:r w:rsidRPr="00CE03A0">
        <w:rPr>
          <w:noProof/>
        </w:rPr>
        <w:t>R4-2010812</w:t>
      </w:r>
      <w:r w:rsidR="00A07725">
        <w:rPr>
          <w:noProof/>
        </w:rPr>
        <w:t>,</w:t>
      </w:r>
      <w:r w:rsidRPr="00CE03A0">
        <w:rPr>
          <w:noProof/>
        </w:rPr>
        <w:t xml:space="preserve"> draft CR for TS 38.101-1 update of eMIMO requirements for ULFPTx</w:t>
      </w:r>
      <w:r w:rsidR="00A07725">
        <w:rPr>
          <w:noProof/>
        </w:rPr>
        <w:t>, Huawei, HiSilicon</w:t>
      </w:r>
    </w:p>
    <w:p w:rsidR="00662EA0" w:rsidRDefault="00662EA0" w:rsidP="00F71A33">
      <w:r>
        <w:rPr>
          <w:noProof/>
        </w:rPr>
        <w:t>[</w:t>
      </w:r>
      <w:r w:rsidR="00B14E16">
        <w:rPr>
          <w:noProof/>
        </w:rPr>
        <w:t>4</w:t>
      </w:r>
      <w:r>
        <w:rPr>
          <w:noProof/>
        </w:rPr>
        <w:t xml:space="preserve">] </w:t>
      </w:r>
      <w:r w:rsidRPr="004B6B7A">
        <w:t>R1-2007245</w:t>
      </w:r>
      <w:r>
        <w:t xml:space="preserve">, </w:t>
      </w:r>
      <w:r w:rsidRPr="004B6B7A">
        <w:t xml:space="preserve">Reply LS on feasibility of UL </w:t>
      </w:r>
      <w:proofErr w:type="spellStart"/>
      <w:r w:rsidRPr="004B6B7A">
        <w:t>FPTx</w:t>
      </w:r>
      <w:proofErr w:type="spellEnd"/>
      <w:r w:rsidRPr="004B6B7A">
        <w:t xml:space="preserve"> modes and transparent </w:t>
      </w:r>
      <w:proofErr w:type="spellStart"/>
      <w:r w:rsidRPr="004B6B7A">
        <w:t>TxD</w:t>
      </w:r>
      <w:proofErr w:type="spellEnd"/>
      <w:r w:rsidRPr="004B6B7A">
        <w:t xml:space="preserve"> for certain UE implementation</w:t>
      </w:r>
      <w:r>
        <w:t>, RAN1</w:t>
      </w:r>
    </w:p>
    <w:p w:rsidR="00B14E16" w:rsidRDefault="00B14E16" w:rsidP="00B14E16">
      <w:pPr>
        <w:rPr>
          <w:noProof/>
        </w:rPr>
      </w:pPr>
      <w:r>
        <w:rPr>
          <w:noProof/>
        </w:rPr>
        <w:t xml:space="preserve">[5] </w:t>
      </w:r>
      <w:r w:rsidRPr="005F1CBD">
        <w:rPr>
          <w:noProof/>
        </w:rPr>
        <w:t>R4-2011783</w:t>
      </w:r>
      <w:r>
        <w:rPr>
          <w:noProof/>
        </w:rPr>
        <w:t xml:space="preserve">, </w:t>
      </w:r>
      <w:r w:rsidRPr="005F1CBD">
        <w:rPr>
          <w:noProof/>
        </w:rPr>
        <w:t>CR for 38.101-1: Introduction of Power Class 1.5</w:t>
      </w:r>
      <w:r>
        <w:rPr>
          <w:noProof/>
        </w:rPr>
        <w:t xml:space="preserve">, </w:t>
      </w:r>
      <w:r w:rsidRPr="005F1CBD">
        <w:rPr>
          <w:noProof/>
        </w:rPr>
        <w:t>T-Mobile USA</w:t>
      </w:r>
    </w:p>
    <w:p w:rsidR="00B14E16" w:rsidRDefault="00B14E16" w:rsidP="00F71A33">
      <w:pPr>
        <w:rPr>
          <w:noProof/>
        </w:rPr>
      </w:pPr>
    </w:p>
    <w:p w:rsidR="006C7129" w:rsidRDefault="006C7129" w:rsidP="00F71A33"/>
    <w:sectPr w:rsidR="006C712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695B" w:rsidRDefault="002A695B" w:rsidP="0052762B">
      <w:r>
        <w:separator/>
      </w:r>
    </w:p>
  </w:endnote>
  <w:endnote w:type="continuationSeparator" w:id="0">
    <w:p w:rsidR="002A695B" w:rsidRDefault="002A695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695B" w:rsidRDefault="002A695B" w:rsidP="0052762B">
      <w:r>
        <w:separator/>
      </w:r>
    </w:p>
  </w:footnote>
  <w:footnote w:type="continuationSeparator" w:id="0">
    <w:p w:rsidR="002A695B" w:rsidRDefault="002A695B"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6"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1"/>
  </w:num>
  <w:num w:numId="3">
    <w:abstractNumId w:val="26"/>
  </w:num>
  <w:num w:numId="4">
    <w:abstractNumId w:val="38"/>
  </w:num>
  <w:num w:numId="5">
    <w:abstractNumId w:val="1"/>
  </w:num>
  <w:num w:numId="6">
    <w:abstractNumId w:val="37"/>
  </w:num>
  <w:num w:numId="7">
    <w:abstractNumId w:val="17"/>
  </w:num>
  <w:num w:numId="8">
    <w:abstractNumId w:val="29"/>
  </w:num>
  <w:num w:numId="9">
    <w:abstractNumId w:val="40"/>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5"/>
  </w:num>
  <w:num w:numId="20">
    <w:abstractNumId w:val="23"/>
  </w:num>
  <w:num w:numId="21">
    <w:abstractNumId w:val="14"/>
  </w:num>
  <w:num w:numId="22">
    <w:abstractNumId w:val="5"/>
  </w:num>
  <w:num w:numId="23">
    <w:abstractNumId w:val="22"/>
  </w:num>
  <w:num w:numId="24">
    <w:abstractNumId w:val="36"/>
  </w:num>
  <w:num w:numId="25">
    <w:abstractNumId w:val="8"/>
  </w:num>
  <w:num w:numId="26">
    <w:abstractNumId w:val="35"/>
  </w:num>
  <w:num w:numId="27">
    <w:abstractNumId w:val="33"/>
  </w:num>
  <w:num w:numId="28">
    <w:abstractNumId w:val="18"/>
  </w:num>
  <w:num w:numId="29">
    <w:abstractNumId w:val="39"/>
  </w:num>
  <w:num w:numId="30">
    <w:abstractNumId w:val="27"/>
  </w:num>
  <w:num w:numId="31">
    <w:abstractNumId w:val="16"/>
  </w:num>
  <w:num w:numId="32">
    <w:abstractNumId w:val="30"/>
  </w:num>
  <w:num w:numId="33">
    <w:abstractNumId w:val="6"/>
  </w:num>
  <w:num w:numId="34">
    <w:abstractNumId w:val="9"/>
  </w:num>
  <w:num w:numId="35">
    <w:abstractNumId w:val="31"/>
  </w:num>
  <w:num w:numId="36">
    <w:abstractNumId w:val="19"/>
  </w:num>
  <w:num w:numId="37">
    <w:abstractNumId w:val="7"/>
  </w:num>
  <w:num w:numId="38">
    <w:abstractNumId w:val="28"/>
  </w:num>
  <w:num w:numId="39">
    <w:abstractNumId w:val="3"/>
  </w:num>
  <w:num w:numId="40">
    <w:abstractNumId w:val="24"/>
  </w:num>
  <w:num w:numId="41">
    <w:abstractNumId w:val="15"/>
  </w:num>
  <w:num w:numId="42">
    <w:abstractNumId w:val="13"/>
  </w:num>
  <w:num w:numId="43">
    <w:abstractNumId w:val="34"/>
  </w:num>
  <w:num w:numId="44">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50"/>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95B"/>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682"/>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337"/>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85F"/>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BD"/>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3714"/>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2EA0"/>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1A13"/>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C7129"/>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546"/>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EEB"/>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07725"/>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2FA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E16"/>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151"/>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3A0"/>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0A77"/>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EBB"/>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列表段落 Char,R4_bullets Char,列表段落1 Char,—ño’i—Ž Char,¥¡¡¡¡ì¬º¥¹¥È¶ÎÂä Char,ÁÐ³ö¶ÎÂä Char,¥ê¥¹¥È¶ÎÂä Char,Bullet list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AFD77-33A2-4AA0-B5DA-62DD4028A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89</TotalTime>
  <Pages>2</Pages>
  <Words>799</Words>
  <Characters>4558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5347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10</cp:revision>
  <cp:lastPrinted>2010-01-07T02:23:00Z</cp:lastPrinted>
  <dcterms:created xsi:type="dcterms:W3CDTF">2020-10-23T14:55:00Z</dcterms:created>
  <dcterms:modified xsi:type="dcterms:W3CDTF">2020-10-23T22:06:00Z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(3)T5UtF6n3DgoP7P7BnlwlDD6JMfxn2/NfURA7JRQXyyolUiToKzQ1XhrqGPtyGjZw/o2Ji0Pa
eaGZRZUKnmnu596VyxO7UKnxmhiGHtFMvp7UJP4+uGMfgnXQKEnBV+e0pEMwxZ6J4Hh5y/DO
jwYM+2oihsgqycG4Rfs3n2krKrKMHwdwB3owGkDHUWMsWn4C5Ez6UNCVzEQ+r8Y5fkzj8kNp
sFySBcapDgTmtUK1to</vt:lpwstr>
  </property>
  <property fmtid="{D5CDD505-2E9C-101B-9397-08002B2CF9AE}" pid="15" name="_2015_ms_pID_725343_00">
    <vt:lpwstr>_2015_ms_pID_725343</vt:lpwstr>
  </property>
  <property fmtid="{D5CDD505-2E9C-101B-9397-08002B2CF9AE}" pid="16" name="_2015_ms_pID_7253431">
    <vt:lpwstr>FOTZ/hjBvUzF6ia/BIy9/PWTTaDJt9crbKYnflYh0+MZCaQ9jrtVqF
/o6MOV8+YGTNfrCLcxViLNqF32wof0vxX7cE/lWQY/pbqtRBT/2XWnCBXyyQXkE2+OzQRi4v
vN0N1q5MyT16LybaV2xKI+gkxMqOaMRVZRxHT/fKeBpldfYA94UCqik99mAU952jzzPe8MlR
T9EhhtcUdy76Vxz3CVLR1N+J7QufKl7vdgVz</vt:lpwstr>
  </property>
  <property fmtid="{D5CDD505-2E9C-101B-9397-08002B2CF9AE}" pid="17" name="_2015_ms_pID_7253431_00">
    <vt:lpwstr>_2015_ms_pID_7253431</vt:lpwstr>
  </property>
  <property fmtid="{D5CDD505-2E9C-101B-9397-08002B2CF9AE}" pid="18" name="_2015_ms_pID_7253432">
    <vt:lpwstr>G8wbbtaZ68fhA2pwbY3R+vI=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